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ход-территории-29-марта"/>
    <w:p>
      <w:pPr>
        <w:pStyle w:val="Heading3"/>
      </w:pPr>
      <w:r>
        <w:t xml:space="preserve">Обход территории 29 марта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Обход территории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марта, глава управы Академического района Рябченко Роман Геннадьевич при участии своих заместителей и сотрудников ГБУ "Жилищник района Академический" проведет обход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маршрута проверим санитарное состояние дворовой территорий и подъездов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обхода: ул. Вавилова д.47, корп.1 (напротив подъезда №1)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Далее пойдем по адресам: ул. Вавилова д.49 корп.1, ул. Вавилова д.49, корп.2, ул. Вавилова д.47, корп.2, ул. Вавилова д.45, ул. Вавилова д.43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11:00</w:t>
      </w:r>
    </w:p>
    <w:p>
      <w:pPr>
        <w:pStyle w:val="BodyText"/>
      </w:pPr>
      <w:r>
        <w:drawing>
          <wp:inline>
            <wp:extent cx="5334000" cy="3692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WhatsApp%20Image%202025-03-25%20at%2013.25.5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http://akademichesky.mos.ru/article/detail/12874809.html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74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74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2025-05-03T02:50:46Z</dcterms:created>
  <dcterms:modified xsi:type="dcterms:W3CDTF">2025-05-03T02:50:46Z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